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824E6" w14:textId="52E7195C" w:rsidR="003856D3" w:rsidRDefault="003D4E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C4647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5126B501" w:rsidR="003856D3" w:rsidRDefault="00C90A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Limpeza AM</w:t>
      </w:r>
    </w:p>
    <w:p w14:paraId="55F14F35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716945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C90AF6" w:rsidRPr="00C90AF6">
        <w:rPr>
          <w:rFonts w:ascii="Times New Roman" w:hAnsi="Times New Roman" w:cs="Times New Roman" w:hint="eastAsia"/>
          <w:bCs/>
          <w:sz w:val="24"/>
          <w:szCs w:val="24"/>
        </w:rPr>
        <w:t>10280-721.250/2024-17</w:t>
      </w:r>
      <w:bookmarkStart w:id="0" w:name="_GoBack"/>
      <w:bookmarkEnd w:id="0"/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561FC4FD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 ocorrência negativa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43147E2B" w:rsidR="003856D3" w:rsidRDefault="009B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02 e 03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97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79ED0478" w:rsidR="000235B1" w:rsidRDefault="009B39CB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04 e 05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- 94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3FC0CD9E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05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- 90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77777777" w:rsidR="003856D3" w:rsidRPr="00FF7F18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FF7F18" w:rsidRPr="00FF7F18">
              <w:rPr>
                <w:rFonts w:ascii="Times New Roman" w:eastAsia="Times New Roman" w:hAnsi="Times New Roman" w:cs="Times New Roman"/>
                <w:lang w:eastAsia="pt-BR"/>
              </w:rPr>
              <w:t>Sanções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77777777" w:rsidR="003856D3" w:rsidRPr="00FF7F18" w:rsidRDefault="00E54D91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- </w:t>
            </w:r>
            <w:r w:rsidR="000235B1"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Duas glosas </w:t>
            </w: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em 06 meses: </w:t>
            </w:r>
            <w:r w:rsidR="00FF7F18" w:rsidRPr="00FF7F18">
              <w:rPr>
                <w:rFonts w:ascii="Times New Roman" w:eastAsia="Times New Roman" w:hAnsi="Times New Roman" w:cs="Times New Roman"/>
                <w:lang w:eastAsia="pt-BR"/>
              </w:rPr>
              <w:t>Advertência registrada no SICAF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FF7F18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77777777" w:rsidR="003856D3" w:rsidRPr="00FF7F18" w:rsidRDefault="000235B1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- </w:t>
            </w:r>
            <w:r w:rsidR="00C407FE">
              <w:rPr>
                <w:rFonts w:ascii="Times New Roman" w:eastAsia="Times New Roman" w:hAnsi="Times New Roman" w:cs="Times New Roman"/>
                <w:lang w:eastAsia="pt-BR"/>
              </w:rPr>
              <w:t xml:space="preserve">Segunda advertência </w:t>
            </w: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>em 12 meses</w:t>
            </w:r>
            <w:r w:rsidR="00E54D91"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: </w:t>
            </w:r>
            <w:r w:rsidR="00FF7F18"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possibilidade de </w:t>
            </w:r>
            <w:r w:rsidR="00E54D91" w:rsidRPr="00FF7F18">
              <w:rPr>
                <w:rFonts w:ascii="Times New Roman" w:eastAsia="Times New Roman" w:hAnsi="Times New Roman" w:cs="Times New Roman"/>
                <w:lang w:eastAsia="pt-BR"/>
              </w:rPr>
              <w:t>rescisão contratual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77777777" w:rsidR="003856D3" w:rsidRDefault="00C407FE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Quando necessário, todos os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todos os serviços pertinentes descritos na Classificação Brasileira de Ocupações para a função (vide anexo)?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4C0A994B" w:rsidR="003856D3" w:rsidRDefault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e com </w:t>
            </w:r>
            <w:r w:rsidR="00F8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asseio e aparência pessoal adequados?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162E498D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20B33613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53B34D8E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1A58975B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175B0842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7F931D09" w:rsidR="003856D3" w:rsidRDefault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nos horários predeterminados pela Administração?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4935A9AA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superior a 30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minutos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56DB9324" w14:textId="77777777" w:rsidR="00592768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</w:t>
            </w:r>
          </w:p>
          <w:p w14:paraId="7A2A899C" w14:textId="682CBCFC" w:rsidR="003856D3" w:rsidRDefault="00592768" w:rsidP="005927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usência costumaz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40A8B61A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2D93F319" w:rsidR="007903D7" w:rsidRPr="007903D7" w:rsidRDefault="00C407FE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Todas as eventuais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prazo máximo de </w:t>
            </w:r>
            <w:r w:rsidR="00D319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uma hora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3EA300FA" w:rsidR="007903D7" w:rsidRDefault="00C407FE" w:rsidP="002402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24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distrações e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uso de telefone para assuntos pessoais durante o horário de expediente?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777777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7777777" w:rsidR="003856D3" w:rsidRDefault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nenhuma 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falta disciplinar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e respeitando o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7777777" w:rsidR="007903D7" w:rsidRDefault="000235B1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77777777" w:rsidR="007903D7" w:rsidRDefault="00C407FE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declara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receber sua remuneração nos prazos e valores pactuados?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76128A" w14:paraId="5848E1A5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5861E8" w14:textId="77777777" w:rsidR="0076128A" w:rsidRDefault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3B0D13B" w14:textId="77777777" w:rsidR="0076128A" w:rsidRDefault="0076128A" w:rsidP="00790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todo o material mensal exigido na planilha vencedora da licitação?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579701" w14:textId="77777777" w:rsidR="0076128A" w:rsidRDefault="0076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1E8C69C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F056070" w14:textId="77777777" w:rsidR="003856D3" w:rsidRDefault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519F4D" w14:textId="77777777" w:rsidR="003856D3" w:rsidRDefault="00E54D9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execução do serviço indica ausência de resposta negativa reincidente para o mesmo item por 02 meses consecutivos ou intercalados nos últimos 06 meses?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2591521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3856D3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F74236D" w14:textId="6AA47B91" w:rsidR="000235B1" w:rsidRDefault="000235B1" w:rsidP="0030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42878" w14:textId="77777777" w:rsidR="00C6310A" w:rsidRDefault="00C6310A" w:rsidP="006075D0">
      <w:pPr>
        <w:spacing w:after="0" w:line="240" w:lineRule="auto"/>
      </w:pPr>
      <w:r>
        <w:separator/>
      </w:r>
    </w:p>
  </w:endnote>
  <w:endnote w:type="continuationSeparator" w:id="0">
    <w:p w14:paraId="68696FBF" w14:textId="77777777" w:rsidR="00C6310A" w:rsidRDefault="00C6310A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3460D" w14:textId="77777777" w:rsidR="00C6310A" w:rsidRDefault="00C6310A" w:rsidP="006075D0">
      <w:pPr>
        <w:spacing w:after="0" w:line="240" w:lineRule="auto"/>
      </w:pPr>
      <w:r>
        <w:separator/>
      </w:r>
    </w:p>
  </w:footnote>
  <w:footnote w:type="continuationSeparator" w:id="0">
    <w:p w14:paraId="50943176" w14:textId="77777777" w:rsidR="00C6310A" w:rsidRDefault="00C6310A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D3"/>
    <w:rsid w:val="000235B1"/>
    <w:rsid w:val="00050879"/>
    <w:rsid w:val="001D152F"/>
    <w:rsid w:val="001E6BB7"/>
    <w:rsid w:val="00207ADF"/>
    <w:rsid w:val="0024028E"/>
    <w:rsid w:val="002F3B38"/>
    <w:rsid w:val="00306E99"/>
    <w:rsid w:val="003856D3"/>
    <w:rsid w:val="003D4E95"/>
    <w:rsid w:val="004343B1"/>
    <w:rsid w:val="0056031B"/>
    <w:rsid w:val="00592768"/>
    <w:rsid w:val="006075D0"/>
    <w:rsid w:val="0066343C"/>
    <w:rsid w:val="006E3E98"/>
    <w:rsid w:val="0076128A"/>
    <w:rsid w:val="007647AF"/>
    <w:rsid w:val="007903D7"/>
    <w:rsid w:val="00821869"/>
    <w:rsid w:val="00900E92"/>
    <w:rsid w:val="009570A1"/>
    <w:rsid w:val="009B39CB"/>
    <w:rsid w:val="009D6113"/>
    <w:rsid w:val="009F69D5"/>
    <w:rsid w:val="00AD688D"/>
    <w:rsid w:val="00BA6C89"/>
    <w:rsid w:val="00C407FE"/>
    <w:rsid w:val="00C4647D"/>
    <w:rsid w:val="00C6310A"/>
    <w:rsid w:val="00C90AF6"/>
    <w:rsid w:val="00C97AA6"/>
    <w:rsid w:val="00D31923"/>
    <w:rsid w:val="00DF20A4"/>
    <w:rsid w:val="00E341DA"/>
    <w:rsid w:val="00E54D91"/>
    <w:rsid w:val="00EA615A"/>
    <w:rsid w:val="00EB053B"/>
    <w:rsid w:val="00EB7F8D"/>
    <w:rsid w:val="00ED6145"/>
    <w:rsid w:val="00EE72ED"/>
    <w:rsid w:val="00F24F60"/>
    <w:rsid w:val="00F8383C"/>
    <w:rsid w:val="00FA654D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10</cp:revision>
  <cp:lastPrinted>2024-01-22T18:16:00Z</cp:lastPrinted>
  <dcterms:created xsi:type="dcterms:W3CDTF">2024-02-15T18:24:00Z</dcterms:created>
  <dcterms:modified xsi:type="dcterms:W3CDTF">2024-03-04T22:58:00Z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